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66" w:rsidRDefault="007B0666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0666" w:rsidRDefault="007B0666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666" w:rsidRDefault="007B0666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666" w:rsidRDefault="00C120BA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21, 2020</w:t>
      </w:r>
    </w:p>
    <w:p w:rsidR="007B0666" w:rsidRDefault="007B0666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666" w:rsidRDefault="007B0666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A9">
        <w:rPr>
          <w:rFonts w:ascii="Times New Roman" w:hAnsi="Times New Roman" w:cs="Times New Roman"/>
          <w:b/>
          <w:sz w:val="28"/>
          <w:szCs w:val="28"/>
        </w:rPr>
        <w:t xml:space="preserve">Amendment </w:t>
      </w:r>
      <w:r>
        <w:rPr>
          <w:rFonts w:ascii="Times New Roman" w:hAnsi="Times New Roman" w:cs="Times New Roman"/>
          <w:b/>
          <w:sz w:val="28"/>
          <w:szCs w:val="28"/>
        </w:rPr>
        <w:t>NO.1</w:t>
      </w:r>
      <w:r w:rsidRPr="00AF5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666" w:rsidRDefault="00C120BA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0BA">
        <w:rPr>
          <w:rFonts w:ascii="Times New Roman" w:hAnsi="Times New Roman" w:cs="Times New Roman"/>
          <w:b/>
          <w:sz w:val="28"/>
          <w:szCs w:val="28"/>
        </w:rPr>
        <w:t>RFR for Project Manager for MDTHINK. RFR Solicitation_001B3400682</w:t>
      </w:r>
    </w:p>
    <w:p w:rsidR="007B0666" w:rsidRDefault="007B0666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66" w:rsidRPr="00AF57A9" w:rsidRDefault="007B0666" w:rsidP="007B0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66" w:rsidRDefault="007B0666" w:rsidP="007B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Prospective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Offerors</w:t>
      </w:r>
      <w:proofErr w:type="spellEnd"/>
      <w:r w:rsidRPr="00AF57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F32" w:rsidRPr="00AF57A9" w:rsidRDefault="00450F32" w:rsidP="007B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666" w:rsidRPr="00AF57A9" w:rsidRDefault="007B0666" w:rsidP="007B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666" w:rsidRDefault="007B0666" w:rsidP="007B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is being issued to amend </w:t>
      </w:r>
      <w:r w:rsidRPr="00AF57A9">
        <w:rPr>
          <w:rFonts w:ascii="Times New Roman" w:hAnsi="Times New Roman" w:cs="Times New Roman"/>
          <w:sz w:val="24"/>
          <w:szCs w:val="24"/>
        </w:rPr>
        <w:t>certain information contained in the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7A9">
        <w:rPr>
          <w:rFonts w:ascii="Times New Roman" w:hAnsi="Times New Roman" w:cs="Times New Roman"/>
          <w:sz w:val="24"/>
          <w:szCs w:val="24"/>
        </w:rPr>
        <w:t xml:space="preserve">referenced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AF57A9">
        <w:rPr>
          <w:rFonts w:ascii="Times New Roman" w:hAnsi="Times New Roman" w:cs="Times New Roman"/>
          <w:sz w:val="24"/>
          <w:szCs w:val="24"/>
        </w:rPr>
        <w:t xml:space="preserve">RFP. All information contained herein is binding on all </w:t>
      </w:r>
      <w:proofErr w:type="spellStart"/>
      <w:r w:rsidRPr="00AF57A9">
        <w:rPr>
          <w:rFonts w:ascii="Times New Roman" w:hAnsi="Times New Roman" w:cs="Times New Roman"/>
          <w:sz w:val="24"/>
          <w:szCs w:val="24"/>
        </w:rPr>
        <w:t>Offerors</w:t>
      </w:r>
      <w:proofErr w:type="spellEnd"/>
      <w:r w:rsidRPr="00AF57A9">
        <w:rPr>
          <w:rFonts w:ascii="Times New Roman" w:hAnsi="Times New Roman" w:cs="Times New Roman"/>
          <w:sz w:val="24"/>
          <w:szCs w:val="24"/>
        </w:rPr>
        <w:t xml:space="preserve"> who respond to this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AF57A9">
        <w:rPr>
          <w:rFonts w:ascii="Times New Roman" w:hAnsi="Times New Roman" w:cs="Times New Roman"/>
          <w:sz w:val="24"/>
          <w:szCs w:val="24"/>
        </w:rPr>
        <w:t xml:space="preserve">RFP. Specific parts of the </w:t>
      </w:r>
      <w:r w:rsidR="00450F32">
        <w:rPr>
          <w:rFonts w:ascii="Times New Roman" w:hAnsi="Times New Roman" w:cs="Times New Roman"/>
          <w:sz w:val="24"/>
          <w:szCs w:val="24"/>
        </w:rPr>
        <w:t>TO</w:t>
      </w:r>
      <w:r w:rsidRPr="00AF57A9">
        <w:rPr>
          <w:rFonts w:ascii="Times New Roman" w:hAnsi="Times New Roman" w:cs="Times New Roman"/>
          <w:sz w:val="24"/>
          <w:szCs w:val="24"/>
        </w:rPr>
        <w:t>RFP have been amended. The following changes</w:t>
      </w:r>
      <w:r>
        <w:rPr>
          <w:rFonts w:ascii="Times New Roman" w:hAnsi="Times New Roman" w:cs="Times New Roman"/>
          <w:sz w:val="24"/>
          <w:szCs w:val="24"/>
        </w:rPr>
        <w:t xml:space="preserve"> are listed below. N</w:t>
      </w:r>
      <w:r w:rsidRPr="00AF57A9">
        <w:rPr>
          <w:rFonts w:ascii="Times New Roman" w:hAnsi="Times New Roman" w:cs="Times New Roman"/>
          <w:sz w:val="24"/>
          <w:szCs w:val="24"/>
        </w:rPr>
        <w:t xml:space="preserve">ew language has been underlined and marked in bold (i.e., </w:t>
      </w:r>
      <w:r w:rsidRPr="00AF57A9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AF57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57A9">
        <w:rPr>
          <w:rFonts w:ascii="Times New Roman" w:hAnsi="Times New Roman" w:cs="Times New Roman"/>
          <w:sz w:val="24"/>
          <w:szCs w:val="24"/>
        </w:rPr>
        <w:t xml:space="preserve"> and language deleted has been marked with a strike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Pr="00AF57A9">
        <w:rPr>
          <w:rFonts w:ascii="Times New Roman" w:hAnsi="Times New Roman" w:cs="Times New Roman"/>
          <w:sz w:val="24"/>
          <w:szCs w:val="24"/>
        </w:rPr>
        <w:t xml:space="preserve">(i.e., </w:t>
      </w:r>
      <w:r w:rsidRPr="00AF57A9">
        <w:rPr>
          <w:rFonts w:ascii="Times New Roman" w:hAnsi="Times New Roman" w:cs="Times New Roman"/>
          <w:strike/>
          <w:sz w:val="24"/>
          <w:szCs w:val="24"/>
        </w:rPr>
        <w:t>word</w:t>
      </w:r>
      <w:r w:rsidRPr="00AF57A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20BA" w:rsidRDefault="00C120BA" w:rsidP="007B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BA" w:rsidRDefault="00C120BA" w:rsidP="007B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Replacing: </w:t>
      </w:r>
    </w:p>
    <w:p w:rsidR="007B0666" w:rsidRDefault="007B0666" w:rsidP="007B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120BA" w:rsidRPr="004245D9" w:rsidTr="00B76DE1">
        <w:trPr>
          <w:jc w:val="center"/>
        </w:trPr>
        <w:tc>
          <w:tcPr>
            <w:tcW w:w="1482" w:type="pct"/>
            <w:shd w:val="clear" w:color="auto" w:fill="auto"/>
          </w:tcPr>
          <w:p w:rsidR="00C120BA" w:rsidRPr="004245D9" w:rsidRDefault="00C120BA" w:rsidP="00B76DE1">
            <w:pPr>
              <w:spacing w:after="42" w:line="259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Preferred </w:t>
            </w:r>
            <w:r w:rsidRPr="004245D9">
              <w:rPr>
                <w:rFonts w:ascii="Calibri" w:eastAsia="Calibri" w:hAnsi="Calibri" w:cs="Calibri"/>
                <w:b/>
                <w:color w:val="000000"/>
                <w:u w:val="single"/>
              </w:rPr>
              <w:t>Generalized Experience:</w:t>
            </w:r>
          </w:p>
        </w:tc>
      </w:tr>
      <w:tr w:rsidR="00C120BA" w:rsidRPr="004245D9" w:rsidTr="00B76DE1">
        <w:trPr>
          <w:trHeight w:val="627"/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trike/>
                <w:color w:val="000000"/>
                <w:sz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 xml:space="preserve">Project management experience and experience supervising technical staff.  </w:t>
            </w:r>
          </w:p>
        </w:tc>
      </w:tr>
      <w:tr w:rsidR="00C120BA" w:rsidRPr="004245D9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trike/>
                <w:color w:val="000000"/>
                <w:sz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 xml:space="preserve">Demonstrated success managing multi-million dollar IT solution implementation projects.  </w:t>
            </w:r>
          </w:p>
        </w:tc>
      </w:tr>
      <w:tr w:rsidR="00C120BA" w:rsidRPr="004245D9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trike/>
                <w:color w:val="000000"/>
                <w:sz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Good working knowledge required of the Project Management Body of Knowledge (PMBOK) and/or State IT project management guidelines and procedures.</w:t>
            </w:r>
          </w:p>
        </w:tc>
      </w:tr>
      <w:tr w:rsidR="00C120BA" w:rsidRPr="004245D9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trike/>
                <w:color w:val="000000"/>
                <w:sz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At least three of experience supervising a highly skilled information technology team.</w:t>
            </w:r>
          </w:p>
        </w:tc>
      </w:tr>
      <w:tr w:rsidR="00C120BA" w:rsidRPr="004245D9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strike/>
                <w:color w:val="000000"/>
                <w:sz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Experience managing a team of highly skilled IT professionals in an applications environment.</w:t>
            </w:r>
          </w:p>
        </w:tc>
      </w:tr>
      <w:tr w:rsidR="00C120BA" w:rsidRPr="00B770E4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Demonstrated strong project management skills, including project and resource planning, activity sequencing, risk assessments, communication planning, and status reporting.</w:t>
            </w:r>
          </w:p>
        </w:tc>
      </w:tr>
      <w:tr w:rsidR="00C120BA" w:rsidRPr="00B770E4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 xml:space="preserve">Experience leading projects of moderate complexity similar to the </w:t>
            </w:r>
            <w:proofErr w:type="spellStart"/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eMM</w:t>
            </w:r>
            <w:proofErr w:type="spellEnd"/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 xml:space="preserve"> project.</w:t>
            </w:r>
          </w:p>
        </w:tc>
      </w:tr>
      <w:tr w:rsidR="00C120BA" w:rsidRPr="00B770E4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Experience in developing, maintaining, and implementing complex business applications that use relational database management systems.</w:t>
            </w:r>
          </w:p>
        </w:tc>
      </w:tr>
      <w:tr w:rsidR="00C120BA" w:rsidRPr="00B770E4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Excellent written and oral communication skills at all organizational levels.</w:t>
            </w:r>
          </w:p>
        </w:tc>
      </w:tr>
      <w:tr w:rsidR="00C120BA" w:rsidRPr="00B770E4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Well organized and the ability to organize others to accomplish goals within prescribed timeframes.</w:t>
            </w:r>
          </w:p>
        </w:tc>
      </w:tr>
      <w:tr w:rsidR="00C120BA" w:rsidRPr="00B770E4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Strong interpersonal skills.</w:t>
            </w:r>
          </w:p>
        </w:tc>
      </w:tr>
      <w:tr w:rsidR="00C120BA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Demonstrated ability to build relationships between business units to support a singular mission.</w:t>
            </w:r>
          </w:p>
        </w:tc>
      </w:tr>
      <w:tr w:rsidR="00C120BA" w:rsidRPr="004245D9" w:rsidTr="00B76DE1">
        <w:trPr>
          <w:trHeight w:val="557"/>
          <w:jc w:val="center"/>
        </w:trPr>
        <w:tc>
          <w:tcPr>
            <w:tcW w:w="1482" w:type="pct"/>
            <w:shd w:val="clear" w:color="auto" w:fill="D0CECE"/>
          </w:tcPr>
          <w:p w:rsidR="00C120BA" w:rsidRPr="00C120BA" w:rsidRDefault="00C120BA" w:rsidP="00B76DE1">
            <w:pPr>
              <w:tabs>
                <w:tab w:val="center" w:pos="157"/>
                <w:tab w:val="center" w:pos="1412"/>
              </w:tabs>
              <w:spacing w:after="42" w:line="259" w:lineRule="auto"/>
              <w:rPr>
                <w:rFonts w:ascii="Calibri" w:eastAsia="Calibri" w:hAnsi="Calibri" w:cs="Calibri"/>
                <w:strike/>
                <w:color w:val="000000"/>
              </w:rPr>
            </w:pPr>
            <w:r w:rsidRPr="00C120BA">
              <w:rPr>
                <w:rFonts w:ascii="Calibri" w:eastAsia="Calibri" w:hAnsi="Calibri" w:cs="Calibri"/>
                <w:b/>
                <w:strike/>
                <w:color w:val="000000"/>
              </w:rPr>
              <w:t xml:space="preserve">Preferred Specialized Experience:  </w:t>
            </w:r>
          </w:p>
          <w:p w:rsidR="00C120BA" w:rsidRPr="00C120BA" w:rsidRDefault="00C120BA" w:rsidP="00B76DE1">
            <w:pPr>
              <w:tabs>
                <w:tab w:val="center" w:pos="157"/>
                <w:tab w:val="center" w:pos="1412"/>
              </w:tabs>
              <w:spacing w:after="42" w:line="259" w:lineRule="auto"/>
              <w:rPr>
                <w:rFonts w:ascii="Calibri" w:eastAsia="Calibri" w:hAnsi="Calibri" w:cs="Calibri"/>
                <w:b/>
                <w:strike/>
                <w:color w:val="000000"/>
                <w:sz w:val="20"/>
              </w:rPr>
            </w:pPr>
          </w:p>
        </w:tc>
      </w:tr>
      <w:tr w:rsidR="00C120BA" w:rsidRPr="004245D9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pStyle w:val="CommentText"/>
              <w:numPr>
                <w:ilvl w:val="0"/>
                <w:numId w:val="5"/>
              </w:numPr>
              <w:rPr>
                <w:rFonts w:ascii="Calibri" w:eastAsia="Calibri" w:hAnsi="Calibri" w:cs="Calibri"/>
                <w:strike/>
                <w:color w:val="000000"/>
                <w:szCs w:val="22"/>
              </w:rPr>
            </w:pPr>
            <w:r w:rsidRPr="00C120BA">
              <w:rPr>
                <w:rFonts w:ascii="Calibri" w:hAnsi="Calibri" w:cs="Calibri"/>
                <w:strike/>
              </w:rPr>
              <w:t>Experience, within the past five years, implementing an e-commerce or e-procurement solution for a public entity.</w:t>
            </w:r>
          </w:p>
        </w:tc>
      </w:tr>
      <w:tr w:rsidR="00C120BA" w:rsidRPr="004245D9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pStyle w:val="CommentText"/>
              <w:numPr>
                <w:ilvl w:val="0"/>
                <w:numId w:val="5"/>
              </w:numPr>
              <w:rPr>
                <w:rFonts w:ascii="Calibri" w:eastAsia="Calibri" w:hAnsi="Calibri" w:cs="Calibri"/>
                <w:strike/>
                <w:color w:val="222222"/>
                <w:szCs w:val="22"/>
              </w:rPr>
            </w:pPr>
            <w:r w:rsidRPr="00C120BA">
              <w:rPr>
                <w:rFonts w:ascii="Calibri" w:hAnsi="Calibri" w:cs="Calibri"/>
                <w:strike/>
              </w:rPr>
              <w:t>Experience, within the past five years, implementing an e-commerce or e-procurement solution for a private entity.</w:t>
            </w:r>
          </w:p>
        </w:tc>
      </w:tr>
      <w:tr w:rsidR="00C120BA" w:rsidRPr="004245D9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pStyle w:val="CommentText"/>
              <w:numPr>
                <w:ilvl w:val="0"/>
                <w:numId w:val="5"/>
              </w:numPr>
              <w:rPr>
                <w:rFonts w:ascii="Calibri" w:eastAsia="Calibri" w:hAnsi="Calibri" w:cs="Calibri"/>
                <w:strike/>
                <w:color w:val="222222"/>
                <w:szCs w:val="22"/>
              </w:rPr>
            </w:pPr>
            <w:r w:rsidRPr="00C120BA">
              <w:rPr>
                <w:rFonts w:ascii="Calibri" w:hAnsi="Calibri" w:cs="Calibri"/>
                <w:strike/>
              </w:rPr>
              <w:t>Knowledge in the electronic procure-to-pay or source-to-pay industry.</w:t>
            </w:r>
          </w:p>
        </w:tc>
      </w:tr>
      <w:tr w:rsidR="00C120BA" w:rsidRPr="00EE03E3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pStyle w:val="CommentText"/>
              <w:numPr>
                <w:ilvl w:val="0"/>
                <w:numId w:val="5"/>
              </w:numPr>
              <w:rPr>
                <w:rFonts w:ascii="Calibri" w:hAnsi="Calibri" w:cs="Calibri"/>
                <w:strike/>
              </w:rPr>
            </w:pPr>
            <w:r w:rsidRPr="00C120BA">
              <w:rPr>
                <w:rFonts w:ascii="Calibri" w:hAnsi="Calibri" w:cs="Calibri"/>
                <w:strike/>
              </w:rPr>
              <w:lastRenderedPageBreak/>
              <w:t xml:space="preserve">An understanding of the functionality of the </w:t>
            </w:r>
            <w:proofErr w:type="spellStart"/>
            <w:r w:rsidRPr="00C120BA">
              <w:rPr>
                <w:rFonts w:ascii="Calibri" w:hAnsi="Calibri" w:cs="Calibri"/>
                <w:strike/>
              </w:rPr>
              <w:t>eMaryland</w:t>
            </w:r>
            <w:proofErr w:type="spellEnd"/>
            <w:r w:rsidRPr="00C120BA">
              <w:rPr>
                <w:rFonts w:ascii="Calibri" w:hAnsi="Calibri" w:cs="Calibri"/>
                <w:strike/>
              </w:rPr>
              <w:t xml:space="preserve"> Marketplace currently used by the State of Maryland and the role it plays in Maryland’s procurement processes.</w:t>
            </w:r>
          </w:p>
        </w:tc>
      </w:tr>
      <w:tr w:rsidR="00C120BA" w:rsidRPr="00CB5471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pStyle w:val="CommentText"/>
              <w:numPr>
                <w:ilvl w:val="0"/>
                <w:numId w:val="5"/>
              </w:numPr>
              <w:rPr>
                <w:rFonts w:ascii="Calibri" w:hAnsi="Calibri" w:cs="Calibri"/>
                <w:strike/>
              </w:rPr>
            </w:pPr>
            <w:r w:rsidRPr="00C120BA">
              <w:rPr>
                <w:rFonts w:ascii="Calibri" w:hAnsi="Calibri" w:cs="Calibri"/>
                <w:strike/>
              </w:rPr>
              <w:t>Knowledge of public procurement processes.</w:t>
            </w:r>
          </w:p>
        </w:tc>
      </w:tr>
      <w:tr w:rsidR="00C120BA" w:rsidRPr="00CB5471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trike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Knowledge of financial and purchasing systems.</w:t>
            </w:r>
          </w:p>
        </w:tc>
      </w:tr>
      <w:tr w:rsidR="00C120BA" w:rsidRPr="00CB5471" w:rsidTr="00B76DE1">
        <w:trPr>
          <w:jc w:val="center"/>
        </w:trPr>
        <w:tc>
          <w:tcPr>
            <w:tcW w:w="1482" w:type="pct"/>
          </w:tcPr>
          <w:p w:rsidR="00C120BA" w:rsidRPr="00C120BA" w:rsidRDefault="00C120BA" w:rsidP="00C120BA">
            <w:pPr>
              <w:widowControl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trike/>
                <w:sz w:val="20"/>
                <w:szCs w:val="20"/>
              </w:rPr>
            </w:pPr>
            <w:r w:rsidRPr="00C120BA">
              <w:rPr>
                <w:rFonts w:ascii="Calibri" w:hAnsi="Calibri" w:cs="Calibri"/>
                <w:strike/>
                <w:sz w:val="20"/>
                <w:szCs w:val="20"/>
              </w:rPr>
              <w:t>Experience with the entire systems development life cycle including programming, systems analysis and design, business process analysis, implementation and support.</w:t>
            </w:r>
          </w:p>
        </w:tc>
      </w:tr>
    </w:tbl>
    <w:p w:rsidR="00C120BA" w:rsidRDefault="00C120BA" w:rsidP="00C1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BA" w:rsidRDefault="00C120BA" w:rsidP="00C1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</w:p>
    <w:p w:rsidR="00C120BA" w:rsidRDefault="00C120BA" w:rsidP="00C1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120BA" w:rsidRPr="004245D9" w:rsidTr="00B76DE1">
        <w:trPr>
          <w:jc w:val="center"/>
        </w:trPr>
        <w:tc>
          <w:tcPr>
            <w:tcW w:w="1482" w:type="pct"/>
            <w:shd w:val="clear" w:color="auto" w:fill="auto"/>
          </w:tcPr>
          <w:p w:rsidR="00C120BA" w:rsidRPr="004245D9" w:rsidRDefault="00C120BA" w:rsidP="00B76DE1">
            <w:pPr>
              <w:spacing w:after="42" w:line="259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Preferred </w:t>
            </w:r>
            <w:r w:rsidRPr="004245D9">
              <w:rPr>
                <w:rFonts w:ascii="Calibri" w:eastAsia="Calibri" w:hAnsi="Calibri" w:cs="Calibri"/>
                <w:b/>
                <w:color w:val="000000"/>
                <w:u w:val="single"/>
              </w:rPr>
              <w:t>Generalized Experience:</w:t>
            </w:r>
          </w:p>
        </w:tc>
      </w:tr>
      <w:tr w:rsidR="00C120BA" w:rsidRPr="009C0F04" w:rsidTr="00B76DE1">
        <w:trPr>
          <w:trHeight w:val="627"/>
          <w:jc w:val="center"/>
        </w:trPr>
        <w:tc>
          <w:tcPr>
            <w:tcW w:w="1482" w:type="pct"/>
          </w:tcPr>
          <w:p w:rsidR="00C120BA" w:rsidRPr="009C0F04" w:rsidRDefault="00C120BA" w:rsidP="00C120BA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C0F04">
              <w:rPr>
                <w:rFonts w:ascii="Calibri" w:hAnsi="Calibri" w:cs="Calibri"/>
                <w:sz w:val="20"/>
                <w:szCs w:val="20"/>
              </w:rPr>
              <w:t xml:space="preserve">Project management experience and experience supervising technical staff.  </w:t>
            </w:r>
          </w:p>
        </w:tc>
      </w:tr>
      <w:tr w:rsidR="00C120BA" w:rsidRPr="009C0F04" w:rsidTr="00B76DE1">
        <w:trPr>
          <w:jc w:val="center"/>
        </w:trPr>
        <w:tc>
          <w:tcPr>
            <w:tcW w:w="1482" w:type="pct"/>
          </w:tcPr>
          <w:p w:rsidR="00C120BA" w:rsidRPr="009C0F04" w:rsidRDefault="00C120BA" w:rsidP="00C120BA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C0F04">
              <w:rPr>
                <w:rFonts w:ascii="Calibri" w:hAnsi="Calibri" w:cs="Calibri"/>
                <w:sz w:val="20"/>
                <w:szCs w:val="20"/>
              </w:rPr>
              <w:t>5+ years in an advanced management role (preference for key project and program management experience).</w:t>
            </w:r>
          </w:p>
        </w:tc>
      </w:tr>
      <w:tr w:rsidR="00C120BA" w:rsidRPr="009C0F04" w:rsidTr="00B76DE1">
        <w:trPr>
          <w:jc w:val="center"/>
        </w:trPr>
        <w:tc>
          <w:tcPr>
            <w:tcW w:w="1482" w:type="pct"/>
          </w:tcPr>
          <w:p w:rsidR="00C120BA" w:rsidRPr="009C0F04" w:rsidRDefault="00C120BA" w:rsidP="00C120BA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C0F04">
              <w:rPr>
                <w:rFonts w:ascii="Calibri" w:hAnsi="Calibri" w:cs="Calibri"/>
                <w:sz w:val="20"/>
                <w:szCs w:val="20"/>
              </w:rPr>
              <w:t>Working knowledge of enterprise IT architecture, systems integration and data interfaces and data governance.</w:t>
            </w:r>
          </w:p>
        </w:tc>
      </w:tr>
      <w:tr w:rsidR="00C120BA" w:rsidRPr="009C0F04" w:rsidTr="00B76DE1">
        <w:trPr>
          <w:jc w:val="center"/>
        </w:trPr>
        <w:tc>
          <w:tcPr>
            <w:tcW w:w="1482" w:type="pct"/>
          </w:tcPr>
          <w:p w:rsidR="00C120BA" w:rsidRPr="009C0F04" w:rsidRDefault="00C120BA" w:rsidP="00C120BA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C0F04">
              <w:rPr>
                <w:rFonts w:ascii="Calibri" w:hAnsi="Calibri" w:cs="Calibri"/>
                <w:sz w:val="20"/>
                <w:szCs w:val="20"/>
              </w:rPr>
              <w:t xml:space="preserve">Outstanding working knowledge of change management principles, stakeholder engagement and management and performance evaluation process. </w:t>
            </w:r>
          </w:p>
        </w:tc>
      </w:tr>
      <w:tr w:rsidR="00C120BA" w:rsidRPr="009C0F04" w:rsidTr="00B76DE1">
        <w:trPr>
          <w:jc w:val="center"/>
        </w:trPr>
        <w:tc>
          <w:tcPr>
            <w:tcW w:w="1482" w:type="pct"/>
          </w:tcPr>
          <w:p w:rsidR="00C120BA" w:rsidRPr="009C0F04" w:rsidRDefault="00C120BA" w:rsidP="00C120BA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C0F04">
              <w:rPr>
                <w:rFonts w:ascii="Calibri" w:hAnsi="Calibri" w:cs="Calibri"/>
                <w:sz w:val="20"/>
                <w:szCs w:val="20"/>
              </w:rPr>
              <w:t>Excellent written and oral communication skills at all organizational levels.</w:t>
            </w:r>
          </w:p>
        </w:tc>
      </w:tr>
      <w:tr w:rsidR="00C120BA" w:rsidRPr="009C0F04" w:rsidTr="00B76DE1">
        <w:trPr>
          <w:jc w:val="center"/>
        </w:trPr>
        <w:tc>
          <w:tcPr>
            <w:tcW w:w="1482" w:type="pct"/>
          </w:tcPr>
          <w:p w:rsidR="00C120BA" w:rsidRPr="009C0F04" w:rsidRDefault="00C120BA" w:rsidP="00C120BA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C0F04">
              <w:rPr>
                <w:rFonts w:ascii="Calibri" w:hAnsi="Calibri" w:cs="Calibri"/>
                <w:sz w:val="20"/>
                <w:szCs w:val="20"/>
              </w:rPr>
              <w:t>Well organized and the ability to organize others to accomplish goals within prescribed timeframes.</w:t>
            </w:r>
          </w:p>
        </w:tc>
      </w:tr>
      <w:tr w:rsidR="00C120BA" w:rsidRPr="009C0F04" w:rsidTr="00B76DE1">
        <w:trPr>
          <w:jc w:val="center"/>
        </w:trPr>
        <w:tc>
          <w:tcPr>
            <w:tcW w:w="1482" w:type="pct"/>
          </w:tcPr>
          <w:p w:rsidR="00C120BA" w:rsidRPr="009C0F04" w:rsidRDefault="00C120BA" w:rsidP="00C120BA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Demonstrated ability to build relationships between business units to support a singular mission.</w:t>
            </w:r>
          </w:p>
        </w:tc>
      </w:tr>
      <w:tr w:rsidR="00C120BA" w:rsidRPr="004245D9" w:rsidTr="00B76DE1">
        <w:trPr>
          <w:trHeight w:val="557"/>
          <w:jc w:val="center"/>
        </w:trPr>
        <w:tc>
          <w:tcPr>
            <w:tcW w:w="1482" w:type="pct"/>
            <w:shd w:val="clear" w:color="auto" w:fill="D0CECE"/>
          </w:tcPr>
          <w:p w:rsidR="00C120BA" w:rsidRPr="004245D9" w:rsidRDefault="00C120BA" w:rsidP="00B76DE1">
            <w:pPr>
              <w:tabs>
                <w:tab w:val="center" w:pos="157"/>
                <w:tab w:val="center" w:pos="1412"/>
              </w:tabs>
              <w:spacing w:after="42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Preferred </w:t>
            </w:r>
            <w:r w:rsidRPr="004245D9">
              <w:rPr>
                <w:rFonts w:ascii="Calibri" w:eastAsia="Calibri" w:hAnsi="Calibri" w:cs="Calibri"/>
                <w:b/>
                <w:color w:val="000000"/>
              </w:rPr>
              <w:t xml:space="preserve">Specialized Experience:  </w:t>
            </w:r>
          </w:p>
          <w:p w:rsidR="00C120BA" w:rsidRPr="004245D9" w:rsidRDefault="00C120BA" w:rsidP="00B76DE1">
            <w:pPr>
              <w:tabs>
                <w:tab w:val="center" w:pos="157"/>
                <w:tab w:val="center" w:pos="1412"/>
              </w:tabs>
              <w:spacing w:after="42" w:line="259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</w:tc>
      </w:tr>
      <w:tr w:rsidR="00C120BA" w:rsidRPr="00E44FF9" w:rsidTr="00B76DE1">
        <w:trPr>
          <w:jc w:val="center"/>
        </w:trPr>
        <w:tc>
          <w:tcPr>
            <w:tcW w:w="1482" w:type="pct"/>
          </w:tcPr>
          <w:p w:rsidR="00C120BA" w:rsidRPr="00E44FF9" w:rsidRDefault="00C120BA" w:rsidP="00C120BA">
            <w:pPr>
              <w:pStyle w:val="CommentTex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44FF9">
              <w:rPr>
                <w:rFonts w:ascii="Calibri" w:hAnsi="Calibri" w:cs="Calibri"/>
              </w:rPr>
              <w:t xml:space="preserve">Experience, within the past five years, managing integrated, enterprise-wide, cloud-based platforms, allowing multiple business lines or units across a business enterprise to integrate, share and manage data and from a single, shared data repository location. </w:t>
            </w:r>
          </w:p>
        </w:tc>
      </w:tr>
      <w:tr w:rsidR="00C120BA" w:rsidRPr="00E44FF9" w:rsidTr="00B76DE1">
        <w:trPr>
          <w:jc w:val="center"/>
        </w:trPr>
        <w:tc>
          <w:tcPr>
            <w:tcW w:w="1482" w:type="pct"/>
          </w:tcPr>
          <w:p w:rsidR="00C120BA" w:rsidRPr="00E44FF9" w:rsidRDefault="00C120BA" w:rsidP="00C120BA">
            <w:pPr>
              <w:pStyle w:val="CommentTex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44FF9">
              <w:rPr>
                <w:rFonts w:ascii="Calibri" w:hAnsi="Calibri" w:cs="Calibri"/>
              </w:rPr>
              <w:t>Proven proposal writing experience.</w:t>
            </w:r>
          </w:p>
        </w:tc>
      </w:tr>
      <w:tr w:rsidR="00C120BA" w:rsidRPr="00E44FF9" w:rsidTr="00B76DE1">
        <w:trPr>
          <w:jc w:val="center"/>
        </w:trPr>
        <w:tc>
          <w:tcPr>
            <w:tcW w:w="1482" w:type="pct"/>
          </w:tcPr>
          <w:p w:rsidR="00C120BA" w:rsidRPr="00E44FF9" w:rsidRDefault="00C120BA" w:rsidP="00C120BA">
            <w:pPr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44FF9">
              <w:rPr>
                <w:rFonts w:ascii="Calibri" w:hAnsi="Calibri" w:cs="Calibri"/>
                <w:sz w:val="20"/>
                <w:szCs w:val="20"/>
              </w:rPr>
              <w:t>Demonstrated success managing stakeholders enterprise-wide across diverse business units.</w:t>
            </w:r>
          </w:p>
        </w:tc>
      </w:tr>
    </w:tbl>
    <w:p w:rsidR="00C120BA" w:rsidRPr="00C120BA" w:rsidRDefault="00C120BA" w:rsidP="00C1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666" w:rsidRDefault="007B0666" w:rsidP="007B0666">
      <w:pPr>
        <w:pStyle w:val="BodyTextIndent3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0666" w:rsidRPr="00FA58B4" w:rsidRDefault="007B0666" w:rsidP="007B0666">
      <w:pPr>
        <w:pStyle w:val="BodyTextIndent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A58B4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or require additional information provided in this amendment, please contact me at (410) 697-9723 or via email </w:t>
      </w:r>
      <w:hyperlink r:id="rId7" w:history="1">
        <w:r w:rsidRPr="00FA58B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dominic.edet2@maryland.gov</w:t>
        </w:r>
      </w:hyperlink>
    </w:p>
    <w:p w:rsidR="007B0666" w:rsidRPr="00FA58B4" w:rsidRDefault="007B0666" w:rsidP="007B0666">
      <w:pPr>
        <w:pStyle w:val="BodyTextIndent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B0666" w:rsidRPr="00FA58B4" w:rsidRDefault="007B0666" w:rsidP="007B0666">
      <w:pPr>
        <w:pStyle w:val="BodyTextIndent3"/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8B4">
        <w:rPr>
          <w:rFonts w:ascii="Times New Roman" w:eastAsia="Times New Roman" w:hAnsi="Times New Roman" w:cs="Times New Roman"/>
          <w:sz w:val="24"/>
          <w:szCs w:val="24"/>
        </w:rPr>
        <w:t xml:space="preserve">Dominic Edet </w:t>
      </w:r>
    </w:p>
    <w:p w:rsidR="007B0666" w:rsidRPr="00FA58B4" w:rsidRDefault="007B0666" w:rsidP="007B0666">
      <w:pPr>
        <w:pStyle w:val="BodyTextIndent3"/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8B4">
        <w:rPr>
          <w:rFonts w:ascii="Times New Roman" w:eastAsia="Times New Roman" w:hAnsi="Times New Roman" w:cs="Times New Roman"/>
          <w:sz w:val="24"/>
          <w:szCs w:val="24"/>
        </w:rPr>
        <w:t xml:space="preserve">Procurement Officer </w:t>
      </w:r>
    </w:p>
    <w:p w:rsidR="007B0666" w:rsidRPr="00063B47" w:rsidRDefault="007B0666" w:rsidP="007B0666">
      <w:pPr>
        <w:rPr>
          <w:rFonts w:ascii="Times New Roman" w:hAnsi="Times New Roman" w:cs="Times New Roman"/>
          <w:sz w:val="24"/>
          <w:szCs w:val="24"/>
        </w:rPr>
      </w:pPr>
    </w:p>
    <w:p w:rsidR="000A1A2B" w:rsidRDefault="00F41583"/>
    <w:sectPr w:rsidR="000A1A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BD" w:rsidRDefault="000F1CBD" w:rsidP="00752E7D">
      <w:pPr>
        <w:spacing w:after="0" w:line="240" w:lineRule="auto"/>
      </w:pPr>
      <w:r>
        <w:separator/>
      </w:r>
    </w:p>
  </w:endnote>
  <w:endnote w:type="continuationSeparator" w:id="0">
    <w:p w:rsidR="000F1CBD" w:rsidRDefault="000F1CBD" w:rsidP="0075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7D" w:rsidRDefault="00752E7D" w:rsidP="00752E7D">
    <w:pPr>
      <w:pStyle w:val="Footer"/>
      <w:jc w:val="center"/>
    </w:pPr>
    <w:r>
      <w:rPr>
        <w:noProof/>
      </w:rPr>
      <w:drawing>
        <wp:inline distT="0" distB="0" distL="0" distR="0">
          <wp:extent cx="5943600" cy="3092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BD" w:rsidRDefault="000F1CBD" w:rsidP="00752E7D">
      <w:pPr>
        <w:spacing w:after="0" w:line="240" w:lineRule="auto"/>
      </w:pPr>
      <w:r>
        <w:separator/>
      </w:r>
    </w:p>
  </w:footnote>
  <w:footnote w:type="continuationSeparator" w:id="0">
    <w:p w:rsidR="000F1CBD" w:rsidRDefault="000F1CBD" w:rsidP="0075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7D" w:rsidRDefault="00C10575" w:rsidP="00752E7D">
    <w:pPr>
      <w:pStyle w:val="Header"/>
      <w:jc w:val="center"/>
    </w:pPr>
    <w:r>
      <w:rPr>
        <w:noProof/>
      </w:rPr>
      <w:drawing>
        <wp:inline distT="0" distB="0" distL="0" distR="0">
          <wp:extent cx="5943600" cy="841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IT-2-line-banner-with-nam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D8A"/>
    <w:multiLevelType w:val="hybridMultilevel"/>
    <w:tmpl w:val="FCAE6C4A"/>
    <w:lvl w:ilvl="0" w:tplc="04090011">
      <w:start w:val="1"/>
      <w:numFmt w:val="decimal"/>
      <w:lvlText w:val="%1)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FD40612"/>
    <w:multiLevelType w:val="hybridMultilevel"/>
    <w:tmpl w:val="24CE6B9E"/>
    <w:lvl w:ilvl="0" w:tplc="B652E746">
      <w:start w:val="1"/>
      <w:numFmt w:val="decimal"/>
      <w:lvlText w:val="%1."/>
      <w:lvlJc w:val="righ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F87514A"/>
    <w:multiLevelType w:val="hybridMultilevel"/>
    <w:tmpl w:val="A1F48A6C"/>
    <w:lvl w:ilvl="0" w:tplc="B652E746">
      <w:start w:val="1"/>
      <w:numFmt w:val="decimal"/>
      <w:lvlText w:val="%1."/>
      <w:lvlJc w:val="right"/>
      <w:pPr>
        <w:ind w:left="432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82A1BFE"/>
    <w:multiLevelType w:val="hybridMultilevel"/>
    <w:tmpl w:val="A25A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40E4E"/>
    <w:multiLevelType w:val="hybridMultilevel"/>
    <w:tmpl w:val="286C2112"/>
    <w:lvl w:ilvl="0" w:tplc="04090011">
      <w:start w:val="1"/>
      <w:numFmt w:val="decimal"/>
      <w:lvlText w:val="%1)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66"/>
    <w:rsid w:val="000B0ADD"/>
    <w:rsid w:val="000F1CBD"/>
    <w:rsid w:val="00142A45"/>
    <w:rsid w:val="001D4DA1"/>
    <w:rsid w:val="0024223D"/>
    <w:rsid w:val="002D254C"/>
    <w:rsid w:val="002E38AE"/>
    <w:rsid w:val="00450F32"/>
    <w:rsid w:val="005B0665"/>
    <w:rsid w:val="006B41A5"/>
    <w:rsid w:val="00752E7D"/>
    <w:rsid w:val="007A2C64"/>
    <w:rsid w:val="007B0666"/>
    <w:rsid w:val="008F7D27"/>
    <w:rsid w:val="00C10575"/>
    <w:rsid w:val="00C120BA"/>
    <w:rsid w:val="00C85069"/>
    <w:rsid w:val="00F4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D28667-E6DF-4A54-8F93-0176743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6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E7D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7D"/>
  </w:style>
  <w:style w:type="paragraph" w:styleId="Footer">
    <w:name w:val="footer"/>
    <w:basedOn w:val="Normal"/>
    <w:link w:val="FooterChar"/>
    <w:uiPriority w:val="99"/>
    <w:unhideWhenUsed/>
    <w:rsid w:val="00752E7D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7D"/>
  </w:style>
  <w:style w:type="table" w:styleId="TableGrid">
    <w:name w:val="Table Grid"/>
    <w:basedOn w:val="TableNormal"/>
    <w:uiPriority w:val="59"/>
    <w:rsid w:val="007B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06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066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6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0BA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C120B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0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ominic.edet2@maryland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C.EDET2\Downloads\DoIT-Letterhead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B901-CBB8-4989-A43C-F44F0285DA90}"/>
</file>

<file path=customXml/itemProps2.xml><?xml version="1.0" encoding="utf-8"?>
<ds:datastoreItem xmlns:ds="http://schemas.openxmlformats.org/officeDocument/2006/customXml" ds:itemID="{0372E44E-476A-4B2A-8781-6C38114E2AD8}"/>
</file>

<file path=customXml/itemProps3.xml><?xml version="1.0" encoding="utf-8"?>
<ds:datastoreItem xmlns:ds="http://schemas.openxmlformats.org/officeDocument/2006/customXml" ds:itemID="{37905C2A-7E35-49E1-9651-1DB74D5A5E4F}"/>
</file>

<file path=docProps/app.xml><?xml version="1.0" encoding="utf-8"?>
<Properties xmlns="http://schemas.openxmlformats.org/officeDocument/2006/extended-properties" xmlns:vt="http://schemas.openxmlformats.org/officeDocument/2006/docPropsVTypes">
  <Template>DoIT-Letterhead-2019.dotx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001B3400682 - Amendment #1</dc:title>
  <dc:subject/>
  <dc:creator>DoIT Procurement</dc:creator>
  <cp:keywords/>
  <dc:description/>
  <cp:lastModifiedBy>Windows User</cp:lastModifiedBy>
  <cp:revision>2</cp:revision>
  <cp:lastPrinted>2019-10-16T14:57:00Z</cp:lastPrinted>
  <dcterms:created xsi:type="dcterms:W3CDTF">2020-01-28T21:03:00Z</dcterms:created>
  <dcterms:modified xsi:type="dcterms:W3CDTF">2020-01-28T21:03:00Z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</Properties>
</file>